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25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7711986" cy="34175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1986" cy="34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Title"/>
        <w:rPr>
          <w:rFonts w:ascii="Courier New" w:hAnsi="Courier New"/>
          <w:b w:val="0"/>
        </w:rPr>
      </w:pPr>
      <w:r>
        <w:rPr/>
        <w:t>Dispute Transaction Form</w:t>
      </w:r>
      <w:r>
        <w:rPr>
          <w:rFonts w:ascii="Courier New" w:hAnsi="Courier New"/>
          <w:b w:val="0"/>
        </w:rPr>
        <w:t>þ</w:t>
      </w:r>
    </w:p>
    <w:p>
      <w:pPr>
        <w:pStyle w:val="BodyText"/>
        <w:spacing w:before="4"/>
        <w:rPr>
          <w:rFonts w:ascii="Courier New"/>
          <w:b w:val="0"/>
          <w:sz w:val="20"/>
          <w:u w:val="none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914400</wp:posOffset>
            </wp:positionH>
            <wp:positionV relativeFrom="paragraph">
              <wp:posOffset>171383</wp:posOffset>
            </wp:positionV>
            <wp:extent cx="5943169" cy="6496431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169" cy="6496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 w:before="237"/>
        <w:ind w:left="1440" w:right="1436" w:firstLine="0"/>
        <w:jc w:val="both"/>
        <w:rPr>
          <w:sz w:val="19"/>
        </w:rPr>
      </w:pPr>
      <w:r>
        <w:rPr>
          <w:b/>
          <w:sz w:val="19"/>
          <w:u w:val="single"/>
        </w:rPr>
        <w:t>Note</w:t>
      </w:r>
      <w:r>
        <w:rPr>
          <w:sz w:val="19"/>
        </w:rPr>
        <w:t>: if you want to know the status of your disputed transaction at any stage, you can contact our 24 hour UBL Contact Center at </w:t>
      </w:r>
      <w:r>
        <w:rPr>
          <w:b/>
          <w:sz w:val="19"/>
        </w:rPr>
        <w:t>111-825-888</w:t>
      </w:r>
      <w:r>
        <w:rPr>
          <w:sz w:val="19"/>
        </w:rPr>
        <w:t>. In case of billed transaction disputed by cardholder, temporary credit cannot be provided to the customers during investigation period. </w:t>
      </w:r>
      <w:r>
        <w:rPr>
          <w:b/>
          <w:sz w:val="19"/>
        </w:rPr>
        <w:t>Therefore it is kindly advised to deposit ‘full’ amount against the billed transactions since nonpayment/partial payment will result in to default, interest penalty and subsequent reporting into eCIB</w:t>
      </w:r>
      <w:r>
        <w:rPr>
          <w:sz w:val="19"/>
        </w:rPr>
        <w:t>. However, based on bank’s discretion financial credit may be extended on case to case basis.</w:t>
      </w:r>
    </w:p>
    <w:p>
      <w:pPr>
        <w:spacing w:line="240" w:lineRule="auto" w:before="4"/>
        <w:rPr>
          <w:sz w:val="17"/>
        </w:rPr>
      </w:pPr>
    </w:p>
    <w:p>
      <w:pPr>
        <w:pStyle w:val="BodyText"/>
        <w:ind w:left="1440"/>
        <w:jc w:val="both"/>
        <w:rPr>
          <w:u w:val="none"/>
        </w:rPr>
      </w:pPr>
      <w:r>
        <w:rPr>
          <w:color w:val="FF0000"/>
          <w:u w:val="thick" w:color="FF0000"/>
        </w:rPr>
        <w:t>Disclaimer: All United Bank Limited Terms and Conditions are applicable.</w:t>
      </w:r>
    </w:p>
    <w:sectPr>
      <w:type w:val="continuous"/>
      <w:pgSz w:w="12240" w:h="15840"/>
      <w:pgMar w:top="4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Caladea">
    <w:altName w:val="Calade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1"/>
      <w:ind w:left="3933" w:right="3719"/>
      <w:jc w:val="center"/>
    </w:pPr>
    <w:rPr>
      <w:rFonts w:ascii="Caladea" w:hAnsi="Caladea" w:eastAsia="Caladea" w:cs="Caladea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usman.qamar</dc:creator>
  <dc:title>Microsoft Word - Dispute Note</dc:title>
  <dcterms:created xsi:type="dcterms:W3CDTF">2021-03-03T16:57:32Z</dcterms:created>
  <dcterms:modified xsi:type="dcterms:W3CDTF">2021-03-03T16:57:32Z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2021-03-03T00:00:00Z</vt:filetime>
  </property>
</Properties>
</file>